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97C" w:rsidRPr="000A1B53" w:rsidRDefault="0060797C" w:rsidP="000A1B53">
      <w:pPr>
        <w:jc w:val="center"/>
        <w:rPr>
          <w:b/>
          <w:sz w:val="28"/>
          <w:szCs w:val="28"/>
        </w:rPr>
      </w:pPr>
      <w:r w:rsidRPr="000A1B53">
        <w:rPr>
          <w:b/>
          <w:sz w:val="28"/>
          <w:szCs w:val="28"/>
        </w:rPr>
        <w:t>Hanti-Manszijszk Nyilatkozat</w:t>
      </w:r>
    </w:p>
    <w:p w:rsidR="0060797C" w:rsidRPr="000A1B53" w:rsidRDefault="0060797C" w:rsidP="00447024">
      <w:pPr>
        <w:jc w:val="center"/>
        <w:rPr>
          <w:sz w:val="28"/>
          <w:szCs w:val="28"/>
        </w:rPr>
      </w:pPr>
      <w:r w:rsidRPr="000A1B53">
        <w:rPr>
          <w:b/>
          <w:sz w:val="28"/>
          <w:szCs w:val="28"/>
        </w:rPr>
        <w:t>Médiaműveltség és digitális írástudás a nyílt kormányzati kultúra építésében</w:t>
      </w:r>
    </w:p>
    <w:p w:rsidR="0060797C" w:rsidRDefault="0060797C" w:rsidP="00447024">
      <w:pPr>
        <w:jc w:val="center"/>
      </w:pPr>
    </w:p>
    <w:p w:rsidR="0060797C" w:rsidRPr="00C63E90" w:rsidRDefault="0060797C" w:rsidP="00447024">
      <w:pPr>
        <w:jc w:val="center"/>
        <w:rPr>
          <w:b/>
        </w:rPr>
      </w:pPr>
      <w:r w:rsidRPr="00C63E90">
        <w:rPr>
          <w:b/>
        </w:rPr>
        <w:t>végleges szöveg</w:t>
      </w:r>
    </w:p>
    <w:p w:rsidR="0060797C" w:rsidRPr="004A2AA8" w:rsidRDefault="0060797C" w:rsidP="00447024">
      <w:pPr>
        <w:jc w:val="center"/>
      </w:pPr>
    </w:p>
    <w:p w:rsidR="0060797C" w:rsidRPr="004A2AA8" w:rsidRDefault="0060797C" w:rsidP="00447024">
      <w:pPr>
        <w:jc w:val="center"/>
      </w:pPr>
    </w:p>
    <w:p w:rsidR="0060797C" w:rsidRPr="004A2AA8" w:rsidRDefault="0060797C" w:rsidP="00447024">
      <w:pPr>
        <w:jc w:val="center"/>
        <w:rPr>
          <w:b/>
        </w:rPr>
      </w:pPr>
      <w:r w:rsidRPr="004A2AA8">
        <w:rPr>
          <w:b/>
        </w:rPr>
        <w:t>„Médiaműveltség és digitális írástudás a nyílt kormányzati kultúra építésében” című nemzetközi konferencia</w:t>
      </w:r>
    </w:p>
    <w:p w:rsidR="0060797C" w:rsidRPr="004A2AA8" w:rsidRDefault="0060797C" w:rsidP="00447024">
      <w:pPr>
        <w:jc w:val="center"/>
      </w:pPr>
      <w:r w:rsidRPr="004A2AA8">
        <w:t>Hanti-Manszijszk, Oroszországi Föderáció</w:t>
      </w:r>
    </w:p>
    <w:p w:rsidR="0060797C" w:rsidRPr="004A2AA8" w:rsidRDefault="0060797C" w:rsidP="00447024">
      <w:pPr>
        <w:jc w:val="center"/>
      </w:pPr>
      <w:r w:rsidRPr="004A2AA8">
        <w:t>2016 június 6-10</w:t>
      </w:r>
    </w:p>
    <w:p w:rsidR="0060797C" w:rsidRPr="004A2AA8" w:rsidRDefault="0060797C" w:rsidP="00447024">
      <w:pPr>
        <w:jc w:val="center"/>
      </w:pPr>
    </w:p>
    <w:p w:rsidR="0060797C" w:rsidRPr="004A2AA8" w:rsidRDefault="0060797C" w:rsidP="00447024">
      <w:pPr>
        <w:jc w:val="center"/>
      </w:pPr>
    </w:p>
    <w:p w:rsidR="0060797C" w:rsidRPr="004A2AA8" w:rsidRDefault="0060797C" w:rsidP="00447024">
      <w:pPr>
        <w:jc w:val="center"/>
      </w:pPr>
    </w:p>
    <w:p w:rsidR="0060797C" w:rsidRPr="004A2AA8" w:rsidRDefault="0060797C" w:rsidP="00447024">
      <w:pPr>
        <w:pStyle w:val="ListParagraph"/>
        <w:numPr>
          <w:ilvl w:val="0"/>
          <w:numId w:val="1"/>
        </w:numPr>
        <w:jc w:val="both"/>
      </w:pPr>
      <w:r w:rsidRPr="004A2AA8">
        <w:t>A közirányításban megvalósuló nagyobb átláthatóság, felelősség és aktívabb lakossági részvétel alapelvére épülő nyílt kormányzat a világ egyre több országában fokozott elismerésre és elfogadásra talál. A demokráciát megtestesítő nyílt kormányzat hozzájárul a hatékonyabb igazgatás megvalósításához, valamint az infokommunikációs technológia (IKT) révén lehetővé teszi a különböző szereplők, úgy mint a kormányok, lakossági és civil társadalmi intézmények, vállalkozások, az ipar, a tudományos világ és mások között létrejövő kölcsönös együttműködéshez szükséges eszközöket és mechanizmusokat.</w:t>
      </w:r>
    </w:p>
    <w:p w:rsidR="0060797C" w:rsidRPr="004A2AA8" w:rsidRDefault="0060797C" w:rsidP="008111CE">
      <w:pPr>
        <w:pStyle w:val="ListParagraph"/>
        <w:jc w:val="both"/>
      </w:pPr>
    </w:p>
    <w:p w:rsidR="0060797C" w:rsidRPr="004A2AA8" w:rsidRDefault="0060797C" w:rsidP="008111CE">
      <w:pPr>
        <w:pStyle w:val="ListParagraph"/>
        <w:numPr>
          <w:ilvl w:val="0"/>
          <w:numId w:val="1"/>
        </w:numPr>
        <w:jc w:val="both"/>
      </w:pPr>
      <w:r w:rsidRPr="004A2AA8">
        <w:t>A fent említett szereplők közötti interakcióhoz számos egymással összefüggő kompetencia szükséges: megbízható információ-hozzáférés és -lehívás; az információ értékelése és hasznosítása; információ- és tudásteremtés illetve megőrzés; valamint az információ különböző csatornákon, formában és platformokon történő megosztása és cseréje. A megbízható kormányzati információn, kölcsönös tiszteleten, az etikai szabványok betartásán valamint az adatvédelmen és biztonságon alapuló interakció a hatékony és sikeres megvalósulás elengedhetetlen feltétele. A nyílt kormányzat célja az abban résztvevő közösségek és egyének jólétének biztosítása.</w:t>
      </w:r>
    </w:p>
    <w:p w:rsidR="0060797C" w:rsidRPr="004A2AA8" w:rsidRDefault="0060797C" w:rsidP="008111CE">
      <w:pPr>
        <w:ind w:left="720"/>
        <w:jc w:val="both"/>
      </w:pPr>
    </w:p>
    <w:p w:rsidR="0060797C" w:rsidRPr="004A2AA8" w:rsidRDefault="0060797C" w:rsidP="00447024">
      <w:pPr>
        <w:pStyle w:val="ListParagraph"/>
        <w:numPr>
          <w:ilvl w:val="0"/>
          <w:numId w:val="1"/>
        </w:numPr>
        <w:jc w:val="both"/>
      </w:pPr>
      <w:r w:rsidRPr="004A2AA8">
        <w:t>A fenti kompozit kompetenciák és attitűdök egy írástudási ökoszisztéma – médiaműveltség és digitális írástudás részét képezik (media and information literacy, MIL). A MIL és a nyílt kormányzat hatékony megvalósulása közötti kapcsolat nemzetközi szintű,pontos megfogalmazása még várat magára.</w:t>
      </w:r>
    </w:p>
    <w:p w:rsidR="0060797C" w:rsidRPr="004A2AA8" w:rsidRDefault="0060797C" w:rsidP="008111CE">
      <w:pPr>
        <w:ind w:left="720"/>
        <w:jc w:val="both"/>
      </w:pPr>
    </w:p>
    <w:p w:rsidR="0060797C" w:rsidRPr="004A2AA8" w:rsidRDefault="0060797C" w:rsidP="00650116">
      <w:pPr>
        <w:pStyle w:val="ListParagraph"/>
        <w:numPr>
          <w:ilvl w:val="0"/>
          <w:numId w:val="1"/>
        </w:numPr>
        <w:jc w:val="both"/>
      </w:pPr>
      <w:r w:rsidRPr="004A2AA8">
        <w:t>A „Médiaműveltség és digitális írástudás a nyílt kormányzati kultúra építésében” című nemzetközi konferencia 2016 június 6 és10 között került megrendezésre az Oroszországi Föderációban található Hanti-Manszijszkban. Az úttörő jelentőségű esemény során a következő célokat határozták meg: (1) a nyílt kormányzás/nyílt kormányzati kultúra fogalmi keretrendszerének lefektetése; (2) az innovatív és kreatív tapasztalatok illetve legjobb gyakorlatok cseréje a nyílt kormányzatban; (3) annak megvitatása, hogy a különböző kormányzati szereplők MIL kompetenciái hogyan fejleszthetik (segíthetik) a nyílt kormányzat gyakorlati megvalósulását; (4) a nyílt kormányzat alkalmazásának feltételét képező MIL oktatási programok bevezetésének előmozdítása.</w:t>
      </w:r>
    </w:p>
    <w:p w:rsidR="0060797C" w:rsidRPr="004A2AA8" w:rsidRDefault="0060797C" w:rsidP="008111CE">
      <w:pPr>
        <w:ind w:left="720"/>
        <w:jc w:val="both"/>
      </w:pPr>
    </w:p>
    <w:p w:rsidR="0060797C" w:rsidRPr="004A2AA8" w:rsidRDefault="0060797C" w:rsidP="00650116">
      <w:pPr>
        <w:pStyle w:val="ListParagraph"/>
        <w:numPr>
          <w:ilvl w:val="0"/>
          <w:numId w:val="1"/>
        </w:numPr>
        <w:jc w:val="both"/>
      </w:pPr>
      <w:r w:rsidRPr="004A2AA8">
        <w:t>A nemzetközi konferencia Hanti és Manysiföld (Oroszországi Föderáció) Önkormányzata, azUNESCO Információt Mindenkinek Programjának (IFAP) Oroszországi Bizottsága, és a Nemzetközi Könyvtári Együttműködési Központ által került megszervezésre, az UNESCO IFAP Kormányközi Tanácsának közreműködésével, illetve az Oroszországi Föderáció Sajtó és Tömegmédia Hivatala, az Oroszországi Föderáció UNESCO Bizottsága, és a LUKoil Petroleum támogatásával. A konferencia 45 országából érkező több mint száz résztvevője között jelen voltak a tudományos világ képviselői, politikusok, diplomaták, újságírók, tanárok, kormánytisztviselők, civil társadalmi aktivisták és magánvállalkozók.</w:t>
      </w:r>
    </w:p>
    <w:p w:rsidR="0060797C" w:rsidRPr="004A2AA8" w:rsidRDefault="0060797C" w:rsidP="008111CE">
      <w:pPr>
        <w:ind w:left="720"/>
        <w:jc w:val="both"/>
      </w:pPr>
    </w:p>
    <w:p w:rsidR="0060797C" w:rsidRPr="004A2AA8" w:rsidRDefault="0060797C" w:rsidP="00A100C3">
      <w:pPr>
        <w:pStyle w:val="ListParagraph"/>
        <w:numPr>
          <w:ilvl w:val="0"/>
          <w:numId w:val="1"/>
        </w:numPr>
        <w:jc w:val="both"/>
      </w:pPr>
      <w:r w:rsidRPr="004A2AA8">
        <w:t>A konferencia a 2012-ben Moszkvában elfogadott Médiaműveltség és Digitális Írástudás Nyilatkozata által meghatározott MIL definícióból indult ki, amely szerint: „A médiaműveltség és digitális írástudás az információ és tudás emberi jogokat tisztelő kreatív, törvényes és etikus módon való hozzáféréséhez, elemzéséhez, értékeléséhez, felhasználásához, létrehozásához és kommunikálásához szükséges tudás, attitűdök, készségek és gyakorlatok összessége.”</w:t>
      </w:r>
    </w:p>
    <w:p w:rsidR="0060797C" w:rsidRPr="004A2AA8" w:rsidRDefault="0060797C" w:rsidP="008111CE">
      <w:pPr>
        <w:ind w:left="720"/>
        <w:jc w:val="both"/>
      </w:pPr>
    </w:p>
    <w:p w:rsidR="0060797C" w:rsidRPr="004A2AA8" w:rsidRDefault="0060797C" w:rsidP="00A100C3">
      <w:pPr>
        <w:pStyle w:val="ListParagraph"/>
        <w:numPr>
          <w:ilvl w:val="0"/>
          <w:numId w:val="1"/>
        </w:numPr>
        <w:jc w:val="both"/>
      </w:pPr>
      <w:r w:rsidRPr="004A2AA8">
        <w:t>A konferencia másik kiindulópontja annak elfogadása volt, miszerint a nyílt kormányzati mechanizmus hozzájárul az alábbiak megvalósításához:</w:t>
      </w:r>
    </w:p>
    <w:p w:rsidR="0060797C" w:rsidRPr="004A2AA8" w:rsidRDefault="0060797C" w:rsidP="00790B9A">
      <w:pPr>
        <w:pStyle w:val="ListParagraph"/>
        <w:numPr>
          <w:ilvl w:val="0"/>
          <w:numId w:val="2"/>
        </w:numPr>
        <w:jc w:val="both"/>
      </w:pPr>
      <w:r w:rsidRPr="004A2AA8">
        <w:t>az állami kormányzat felelősségének átláthatóbbá tételéhez és az állampolgároknak az állami kormányzat minőségével való megelégedettségéhez;</w:t>
      </w:r>
    </w:p>
    <w:p w:rsidR="0060797C" w:rsidRPr="004A2AA8" w:rsidRDefault="0060797C" w:rsidP="00790B9A">
      <w:pPr>
        <w:pStyle w:val="ListParagraph"/>
        <w:numPr>
          <w:ilvl w:val="0"/>
          <w:numId w:val="2"/>
        </w:numPr>
        <w:jc w:val="both"/>
      </w:pPr>
      <w:r w:rsidRPr="004A2AA8">
        <w:t>a kormányzati tervezésben és döntéshozatalban való közvetlen részvétel lehetőségének növeléséhez az állampolgárok számára;</w:t>
      </w:r>
    </w:p>
    <w:p w:rsidR="0060797C" w:rsidRPr="004A2AA8" w:rsidRDefault="0060797C" w:rsidP="00790B9A">
      <w:pPr>
        <w:pStyle w:val="ListParagraph"/>
        <w:numPr>
          <w:ilvl w:val="0"/>
          <w:numId w:val="2"/>
        </w:numPr>
        <w:jc w:val="both"/>
      </w:pPr>
      <w:r w:rsidRPr="004A2AA8">
        <w:t>a hatóságok közötti nyílt kommunikáció szintjében elérendő minőségi változás megteremtéséhez; és</w:t>
      </w:r>
    </w:p>
    <w:p w:rsidR="0060797C" w:rsidRPr="004A2AA8" w:rsidRDefault="0060797C" w:rsidP="008111CE">
      <w:pPr>
        <w:pStyle w:val="ListParagraph"/>
        <w:numPr>
          <w:ilvl w:val="0"/>
          <w:numId w:val="2"/>
        </w:numPr>
        <w:jc w:val="both"/>
      </w:pPr>
      <w:r w:rsidRPr="004A2AA8">
        <w:t>a hatóságok civil szektor általi sikeres és hatékony nyomon követéséhez.</w:t>
      </w:r>
    </w:p>
    <w:p w:rsidR="0060797C" w:rsidRPr="004A2AA8" w:rsidRDefault="0060797C" w:rsidP="008111CE">
      <w:pPr>
        <w:ind w:left="1080"/>
        <w:jc w:val="both"/>
      </w:pPr>
    </w:p>
    <w:p w:rsidR="0060797C" w:rsidRPr="004A2AA8" w:rsidRDefault="0060797C" w:rsidP="008111CE">
      <w:pPr>
        <w:pStyle w:val="ListParagraph"/>
        <w:numPr>
          <w:ilvl w:val="0"/>
          <w:numId w:val="1"/>
        </w:numPr>
        <w:jc w:val="both"/>
      </w:pPr>
      <w:r w:rsidRPr="004A2AA8">
        <w:t>A konferencia résztvevői az alábbi következtetéseket vonták le:</w:t>
      </w:r>
    </w:p>
    <w:p w:rsidR="0060797C" w:rsidRPr="004A2AA8" w:rsidRDefault="0060797C" w:rsidP="008111CE">
      <w:pPr>
        <w:pStyle w:val="ListParagraph"/>
        <w:jc w:val="both"/>
      </w:pPr>
    </w:p>
    <w:p w:rsidR="0060797C" w:rsidRPr="004A2AA8" w:rsidRDefault="0060797C" w:rsidP="00081A90">
      <w:pPr>
        <w:pStyle w:val="ListParagraph"/>
        <w:numPr>
          <w:ilvl w:val="0"/>
          <w:numId w:val="4"/>
        </w:numPr>
        <w:jc w:val="both"/>
      </w:pPr>
      <w:r w:rsidRPr="004A2AA8">
        <w:t>a médiaműveltség és digitális írástudás a nyílt kormányzat létrehozásának és fenntarthatóságának alapvető feltétele;</w:t>
      </w:r>
    </w:p>
    <w:p w:rsidR="0060797C" w:rsidRPr="004A2AA8" w:rsidRDefault="0060797C" w:rsidP="00316BEF">
      <w:pPr>
        <w:pStyle w:val="ListParagraph"/>
        <w:ind w:left="1440"/>
        <w:jc w:val="both"/>
      </w:pPr>
    </w:p>
    <w:p w:rsidR="0060797C" w:rsidRPr="004A2AA8" w:rsidRDefault="0060797C" w:rsidP="00081A90">
      <w:pPr>
        <w:pStyle w:val="ListParagraph"/>
        <w:numPr>
          <w:ilvl w:val="0"/>
          <w:numId w:val="4"/>
        </w:numPr>
        <w:jc w:val="both"/>
      </w:pPr>
      <w:r w:rsidRPr="004A2AA8">
        <w:t xml:space="preserve">a médiaműveltség és digitális írástudás segít a következő ENSZ által megfogalmazott fenntartható fejlődési célok elérésében: 16.5, a korrupció és megvesztegetés minden formájának jelentős visszaszorításában; 16.6, minden szinten hatékony, felelős és átlátható intézmények kialakításában; 16.7, a minden szinten megvalósuló </w:t>
      </w:r>
      <w:r>
        <w:t>reszponzív</w:t>
      </w:r>
      <w:bookmarkStart w:id="0" w:name="_GoBack"/>
      <w:bookmarkEnd w:id="0"/>
      <w:r w:rsidRPr="004A2AA8">
        <w:t>, befogadó, részvételen alapuló és reprezentatív döntéshozatalban; illetve 16.10, a nemzeti törvények és nemzetközi megállapodások által biztosított nyilvános információ-hozzáférésben, és az alapvető szabadságjogok védelmében;</w:t>
      </w:r>
    </w:p>
    <w:p w:rsidR="0060797C" w:rsidRPr="004A2AA8" w:rsidRDefault="0060797C" w:rsidP="00316BEF">
      <w:pPr>
        <w:ind w:left="1440"/>
        <w:jc w:val="both"/>
      </w:pPr>
    </w:p>
    <w:p w:rsidR="0060797C" w:rsidRPr="004A2AA8" w:rsidRDefault="0060797C" w:rsidP="00081A90">
      <w:pPr>
        <w:pStyle w:val="ListParagraph"/>
        <w:numPr>
          <w:ilvl w:val="0"/>
          <w:numId w:val="4"/>
        </w:numPr>
        <w:jc w:val="both"/>
      </w:pPr>
      <w:r w:rsidRPr="004A2AA8">
        <w:t>a médiaműveltség- és digitális írástudás-kompetenciáknak az élethosszig tartó tanulás részeként való elsajátítása minden szektor és csoport számára egyaránt fontos;</w:t>
      </w:r>
    </w:p>
    <w:p w:rsidR="0060797C" w:rsidRPr="004A2AA8" w:rsidRDefault="0060797C" w:rsidP="00316BEF">
      <w:pPr>
        <w:ind w:left="1440"/>
        <w:jc w:val="both"/>
      </w:pPr>
    </w:p>
    <w:p w:rsidR="0060797C" w:rsidRPr="004A2AA8" w:rsidRDefault="0060797C" w:rsidP="00316BEF">
      <w:pPr>
        <w:pStyle w:val="ListParagraph"/>
        <w:numPr>
          <w:ilvl w:val="0"/>
          <w:numId w:val="4"/>
        </w:numPr>
        <w:jc w:val="both"/>
      </w:pPr>
      <w:r w:rsidRPr="004A2AA8">
        <w:t>különleges figyelmet kell szentelni a kormányszervek valamint a nyílt kormányzat biztosításáért felelős köztisztviselők médiaműveltség- és digitális írástudás-kompetenciáira;</w:t>
      </w:r>
    </w:p>
    <w:p w:rsidR="0060797C" w:rsidRPr="004A2AA8" w:rsidRDefault="0060797C" w:rsidP="00316BEF">
      <w:pPr>
        <w:ind w:left="1440"/>
        <w:jc w:val="both"/>
      </w:pPr>
    </w:p>
    <w:p w:rsidR="0060797C" w:rsidRPr="004A2AA8" w:rsidRDefault="0060797C" w:rsidP="00081A90">
      <w:pPr>
        <w:pStyle w:val="ListParagraph"/>
        <w:numPr>
          <w:ilvl w:val="0"/>
          <w:numId w:val="4"/>
        </w:numPr>
        <w:jc w:val="both"/>
      </w:pPr>
      <w:r w:rsidRPr="004A2AA8">
        <w:t>a demokrácia új elemét és az e-kormányzat új szakaszát jelentő nyitott kormányzatra a digitális nyílt adathalmaznál és a kormányzati elektronikus szolgáltatásoknál szélesebb értelemben kell tekinteni, ugyanakkor az e-kormányzat és e-állampolgárság tanulságai és tapasztalatai hasznos forrásként szolgálnak a médiaműveltség és digitális írástudás nyílt kormányzati gyakorlatban betöltött szerepének megértésében; és</w:t>
      </w:r>
    </w:p>
    <w:p w:rsidR="0060797C" w:rsidRPr="004A2AA8" w:rsidRDefault="0060797C" w:rsidP="00316BEF">
      <w:pPr>
        <w:ind w:left="1440"/>
        <w:jc w:val="both"/>
      </w:pPr>
    </w:p>
    <w:p w:rsidR="0060797C" w:rsidRPr="004A2AA8" w:rsidRDefault="0060797C" w:rsidP="00081A90">
      <w:pPr>
        <w:pStyle w:val="ListParagraph"/>
        <w:numPr>
          <w:ilvl w:val="0"/>
          <w:numId w:val="4"/>
        </w:numPr>
        <w:jc w:val="both"/>
      </w:pPr>
      <w:r w:rsidRPr="004A2AA8">
        <w:t>a médiaműveltség és digitális írástudás szakemberei, az ezzel foglalkozó tudósok, kutatók és az ezt gyakorlatban alkalmazóknak közvetlenül kell részt venniük a nyílt kormányzati gyakorlat rendszerének kialakításában.</w:t>
      </w:r>
    </w:p>
    <w:p w:rsidR="0060797C" w:rsidRPr="004A2AA8" w:rsidRDefault="0060797C" w:rsidP="002A2036">
      <w:pPr>
        <w:ind w:left="1080"/>
        <w:jc w:val="both"/>
      </w:pPr>
    </w:p>
    <w:p w:rsidR="0060797C" w:rsidRPr="004A2AA8" w:rsidRDefault="0060797C" w:rsidP="002A2036">
      <w:pPr>
        <w:pStyle w:val="ListParagraph"/>
        <w:numPr>
          <w:ilvl w:val="0"/>
          <w:numId w:val="1"/>
        </w:numPr>
        <w:jc w:val="both"/>
      </w:pPr>
      <w:r w:rsidRPr="004A2AA8">
        <w:t>A fentiek alapján a konferencia résztvevői arra ösztönzik nemzeti kormányaikat, az ENSZ szerveit (főként az UNESCÓ-t), az érintettkormányközi és közjogi szerveket, szakmai egyesületeket, oktatási, kutatási, kulturális és társadalmi szervezeteket, médiahálózatokat valamint gazdasági és ipari társaságokat, hogy</w:t>
      </w:r>
    </w:p>
    <w:p w:rsidR="0060797C" w:rsidRPr="004A2AA8" w:rsidRDefault="0060797C" w:rsidP="00316BEF">
      <w:pPr>
        <w:pStyle w:val="ListParagraph"/>
        <w:jc w:val="both"/>
      </w:pPr>
    </w:p>
    <w:p w:rsidR="0060797C" w:rsidRPr="004A2AA8" w:rsidRDefault="0060797C" w:rsidP="00316BEF">
      <w:pPr>
        <w:pStyle w:val="ListParagraph"/>
        <w:numPr>
          <w:ilvl w:val="0"/>
          <w:numId w:val="5"/>
        </w:numPr>
        <w:jc w:val="both"/>
      </w:pPr>
      <w:r w:rsidRPr="004A2AA8">
        <w:t>ismerjék el a médiaműveltséget és digitális írástudást a nyílt kormányzat és a nyílt kormányzati kultúra alapelemeként;</w:t>
      </w:r>
    </w:p>
    <w:p w:rsidR="0060797C" w:rsidRPr="004A2AA8" w:rsidRDefault="0060797C" w:rsidP="00316BEF">
      <w:pPr>
        <w:ind w:left="1080"/>
        <w:jc w:val="both"/>
      </w:pPr>
    </w:p>
    <w:p w:rsidR="0060797C" w:rsidRPr="004A2AA8" w:rsidRDefault="0060797C" w:rsidP="008F1F01">
      <w:pPr>
        <w:pStyle w:val="ListParagraph"/>
        <w:numPr>
          <w:ilvl w:val="0"/>
          <w:numId w:val="5"/>
        </w:numPr>
        <w:jc w:val="both"/>
      </w:pPr>
      <w:r w:rsidRPr="004A2AA8">
        <w:t>a médiaműveltség és digitális írástudás szakpolitikai mércéinek, értékelési rendszereinek és eszközeinek fejlesztését az oktatás, kultúra, az információs terület és a média nemzeti prioritásaként határozzák meg;</w:t>
      </w:r>
    </w:p>
    <w:p w:rsidR="0060797C" w:rsidRPr="004A2AA8" w:rsidRDefault="0060797C" w:rsidP="00B51D37">
      <w:pPr>
        <w:pStyle w:val="ListParagraph"/>
        <w:ind w:left="1080"/>
      </w:pPr>
    </w:p>
    <w:p w:rsidR="0060797C" w:rsidRPr="004A2AA8" w:rsidRDefault="0060797C" w:rsidP="005332E5">
      <w:pPr>
        <w:pStyle w:val="ListParagraph"/>
        <w:numPr>
          <w:ilvl w:val="0"/>
          <w:numId w:val="5"/>
        </w:numPr>
        <w:jc w:val="both"/>
      </w:pPr>
      <w:r w:rsidRPr="004A2AA8">
        <w:t>a médiaműveltség és digitális írástudás szakembereit vonják be a nyílt kormányzat létrehozásának folyamatába;</w:t>
      </w:r>
    </w:p>
    <w:p w:rsidR="0060797C" w:rsidRPr="004A2AA8" w:rsidRDefault="0060797C" w:rsidP="004A2AA8">
      <w:pPr>
        <w:jc w:val="both"/>
      </w:pPr>
    </w:p>
    <w:p w:rsidR="0060797C" w:rsidRPr="004A2AA8" w:rsidRDefault="0060797C" w:rsidP="008F1F01">
      <w:pPr>
        <w:pStyle w:val="ListParagraph"/>
        <w:numPr>
          <w:ilvl w:val="0"/>
          <w:numId w:val="5"/>
        </w:numPr>
        <w:jc w:val="both"/>
      </w:pPr>
      <w:r w:rsidRPr="004A2AA8">
        <w:t>különítsenek el megfelelő mennyiségű forrást és biztosítsanak támogatást a nyílt kormányzat megvalósítását elősegítő médiaműveltség és digitális írástudás területén működő intézmények és hálózatok számára.</w:t>
      </w:r>
    </w:p>
    <w:p w:rsidR="0060797C" w:rsidRPr="004A2AA8" w:rsidRDefault="0060797C" w:rsidP="00B51D37">
      <w:pPr>
        <w:pStyle w:val="ListParagraph"/>
      </w:pPr>
    </w:p>
    <w:p w:rsidR="0060797C" w:rsidRPr="004A2AA8" w:rsidRDefault="0060797C" w:rsidP="00B51D37">
      <w:pPr>
        <w:pStyle w:val="ListParagraph"/>
        <w:numPr>
          <w:ilvl w:val="0"/>
          <w:numId w:val="1"/>
        </w:numPr>
        <w:jc w:val="both"/>
      </w:pPr>
      <w:r w:rsidRPr="004A2AA8">
        <w:t>Jelen dokumentumot a következő országok képviselői dolgozták ki: Albánia, Andorra, Argentína, Azerbajdzsán, Brazília, Benin, Cseh Köztársaság, Dél-Afrikai Köztársaság, Egyiptom, Finnország, Franciaország, Fülöp-szigetek, Haiti, Hollandia, Honduras, India, Irán, Izrael, Kazahsztán, Kenya, Kína, Kirgizisztán, Kolumbia, Kongói Demokratikus Köztársaság, Lettország, Libanon, Macedónia Volt Jugoszláv Köztársaság, Magyarország, Mexikó, Moldova, Marokkó, Nigéria, Norvégia, Olaszország, Oroszországi Föderáció, Örményország,Palesztin Autonómia, Paraguay, Románia, Szenegál, Thaiföld, Üzbegisztán, Venezuela, Vietnám, és Zimbabwe.</w:t>
      </w:r>
    </w:p>
    <w:sectPr w:rsidR="0060797C" w:rsidRPr="004A2AA8" w:rsidSect="003614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62D"/>
    <w:multiLevelType w:val="hybridMultilevel"/>
    <w:tmpl w:val="3E628712"/>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C9151ED"/>
    <w:multiLevelType w:val="hybridMultilevel"/>
    <w:tmpl w:val="880A59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B3781C"/>
    <w:multiLevelType w:val="hybridMultilevel"/>
    <w:tmpl w:val="2FE26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454BDC"/>
    <w:multiLevelType w:val="hybridMultilevel"/>
    <w:tmpl w:val="0706AAA8"/>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57E5348B"/>
    <w:multiLevelType w:val="hybridMultilevel"/>
    <w:tmpl w:val="F4C0FF9A"/>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024"/>
    <w:rsid w:val="0001682B"/>
    <w:rsid w:val="0004166E"/>
    <w:rsid w:val="00044B79"/>
    <w:rsid w:val="0004555F"/>
    <w:rsid w:val="000458DE"/>
    <w:rsid w:val="00076DFD"/>
    <w:rsid w:val="00081A90"/>
    <w:rsid w:val="00094D00"/>
    <w:rsid w:val="000A1B53"/>
    <w:rsid w:val="000A7B38"/>
    <w:rsid w:val="000B32A1"/>
    <w:rsid w:val="00121194"/>
    <w:rsid w:val="00141412"/>
    <w:rsid w:val="0015207D"/>
    <w:rsid w:val="001A626C"/>
    <w:rsid w:val="001B357F"/>
    <w:rsid w:val="001C0F6B"/>
    <w:rsid w:val="001D6239"/>
    <w:rsid w:val="001E0E27"/>
    <w:rsid w:val="001F35B6"/>
    <w:rsid w:val="001F61F3"/>
    <w:rsid w:val="00211DCE"/>
    <w:rsid w:val="00221492"/>
    <w:rsid w:val="00262AE9"/>
    <w:rsid w:val="002834BF"/>
    <w:rsid w:val="0028395A"/>
    <w:rsid w:val="002A2036"/>
    <w:rsid w:val="002B6380"/>
    <w:rsid w:val="002B70B2"/>
    <w:rsid w:val="002C78CA"/>
    <w:rsid w:val="002D4549"/>
    <w:rsid w:val="002E76B4"/>
    <w:rsid w:val="002F5183"/>
    <w:rsid w:val="002F7E7A"/>
    <w:rsid w:val="00302B9A"/>
    <w:rsid w:val="00316BEF"/>
    <w:rsid w:val="0032453B"/>
    <w:rsid w:val="00326471"/>
    <w:rsid w:val="00343454"/>
    <w:rsid w:val="00344D5A"/>
    <w:rsid w:val="00352307"/>
    <w:rsid w:val="0035491E"/>
    <w:rsid w:val="00357C83"/>
    <w:rsid w:val="003614B8"/>
    <w:rsid w:val="00370330"/>
    <w:rsid w:val="0039486A"/>
    <w:rsid w:val="0039570B"/>
    <w:rsid w:val="003A1E96"/>
    <w:rsid w:val="003A462B"/>
    <w:rsid w:val="003C3886"/>
    <w:rsid w:val="003D76AE"/>
    <w:rsid w:val="003E39DC"/>
    <w:rsid w:val="003E43B5"/>
    <w:rsid w:val="0041211B"/>
    <w:rsid w:val="00414630"/>
    <w:rsid w:val="00421EA9"/>
    <w:rsid w:val="00444F1B"/>
    <w:rsid w:val="00447024"/>
    <w:rsid w:val="00462E5B"/>
    <w:rsid w:val="004652D4"/>
    <w:rsid w:val="0049606E"/>
    <w:rsid w:val="004A2AA8"/>
    <w:rsid w:val="004A7FA2"/>
    <w:rsid w:val="00515356"/>
    <w:rsid w:val="00517F22"/>
    <w:rsid w:val="005332E5"/>
    <w:rsid w:val="00545EAD"/>
    <w:rsid w:val="00567107"/>
    <w:rsid w:val="00584444"/>
    <w:rsid w:val="00587EE4"/>
    <w:rsid w:val="005A5447"/>
    <w:rsid w:val="005B43A7"/>
    <w:rsid w:val="005C1D76"/>
    <w:rsid w:val="005E240E"/>
    <w:rsid w:val="005E38EA"/>
    <w:rsid w:val="005F31B1"/>
    <w:rsid w:val="00600A01"/>
    <w:rsid w:val="00604981"/>
    <w:rsid w:val="00604BFF"/>
    <w:rsid w:val="0060797C"/>
    <w:rsid w:val="00610F9B"/>
    <w:rsid w:val="0062372F"/>
    <w:rsid w:val="00650116"/>
    <w:rsid w:val="00656346"/>
    <w:rsid w:val="006621DC"/>
    <w:rsid w:val="00675026"/>
    <w:rsid w:val="006851B2"/>
    <w:rsid w:val="00696586"/>
    <w:rsid w:val="00696ADD"/>
    <w:rsid w:val="006B7187"/>
    <w:rsid w:val="006C0EC6"/>
    <w:rsid w:val="006D140C"/>
    <w:rsid w:val="006D6F62"/>
    <w:rsid w:val="006E1CE3"/>
    <w:rsid w:val="007016B8"/>
    <w:rsid w:val="007020C4"/>
    <w:rsid w:val="00725156"/>
    <w:rsid w:val="0072654C"/>
    <w:rsid w:val="00747BCE"/>
    <w:rsid w:val="00752F49"/>
    <w:rsid w:val="007721E2"/>
    <w:rsid w:val="00773EBC"/>
    <w:rsid w:val="00776787"/>
    <w:rsid w:val="00790B9A"/>
    <w:rsid w:val="007A4EB0"/>
    <w:rsid w:val="007C1132"/>
    <w:rsid w:val="007C2A93"/>
    <w:rsid w:val="007C77E0"/>
    <w:rsid w:val="007D34A8"/>
    <w:rsid w:val="007F4AFC"/>
    <w:rsid w:val="008102B4"/>
    <w:rsid w:val="008111CE"/>
    <w:rsid w:val="00817F00"/>
    <w:rsid w:val="00824E5F"/>
    <w:rsid w:val="00885D89"/>
    <w:rsid w:val="00887565"/>
    <w:rsid w:val="008A0B2A"/>
    <w:rsid w:val="008A1F7F"/>
    <w:rsid w:val="008B41DF"/>
    <w:rsid w:val="008B7B78"/>
    <w:rsid w:val="008D4E06"/>
    <w:rsid w:val="008D7B49"/>
    <w:rsid w:val="008F1F01"/>
    <w:rsid w:val="008F4B68"/>
    <w:rsid w:val="00902147"/>
    <w:rsid w:val="00914F4D"/>
    <w:rsid w:val="00946BB9"/>
    <w:rsid w:val="009526D7"/>
    <w:rsid w:val="00972E4B"/>
    <w:rsid w:val="009951D8"/>
    <w:rsid w:val="009A03EF"/>
    <w:rsid w:val="009A368A"/>
    <w:rsid w:val="009B5FCE"/>
    <w:rsid w:val="009B72B6"/>
    <w:rsid w:val="009C2C62"/>
    <w:rsid w:val="009D20D3"/>
    <w:rsid w:val="009E0C3F"/>
    <w:rsid w:val="009E1032"/>
    <w:rsid w:val="009E671F"/>
    <w:rsid w:val="00A100C3"/>
    <w:rsid w:val="00A11C11"/>
    <w:rsid w:val="00A22D65"/>
    <w:rsid w:val="00A32575"/>
    <w:rsid w:val="00A47F6F"/>
    <w:rsid w:val="00A54321"/>
    <w:rsid w:val="00A72ABF"/>
    <w:rsid w:val="00A81D0B"/>
    <w:rsid w:val="00AA646B"/>
    <w:rsid w:val="00AC4DC9"/>
    <w:rsid w:val="00AE00C6"/>
    <w:rsid w:val="00AE19F6"/>
    <w:rsid w:val="00AF2759"/>
    <w:rsid w:val="00B07A28"/>
    <w:rsid w:val="00B24210"/>
    <w:rsid w:val="00B25592"/>
    <w:rsid w:val="00B34C58"/>
    <w:rsid w:val="00B36444"/>
    <w:rsid w:val="00B51D37"/>
    <w:rsid w:val="00B575A5"/>
    <w:rsid w:val="00B84696"/>
    <w:rsid w:val="00B857B2"/>
    <w:rsid w:val="00B90687"/>
    <w:rsid w:val="00BA499E"/>
    <w:rsid w:val="00BB2B9D"/>
    <w:rsid w:val="00BC14B8"/>
    <w:rsid w:val="00BC1A00"/>
    <w:rsid w:val="00BC617A"/>
    <w:rsid w:val="00BE3A38"/>
    <w:rsid w:val="00C038F2"/>
    <w:rsid w:val="00C128C6"/>
    <w:rsid w:val="00C26537"/>
    <w:rsid w:val="00C31B6C"/>
    <w:rsid w:val="00C359F9"/>
    <w:rsid w:val="00C63E90"/>
    <w:rsid w:val="00C67C6A"/>
    <w:rsid w:val="00C77F55"/>
    <w:rsid w:val="00C83718"/>
    <w:rsid w:val="00C96D6F"/>
    <w:rsid w:val="00CA73CB"/>
    <w:rsid w:val="00CC0E88"/>
    <w:rsid w:val="00CD06D0"/>
    <w:rsid w:val="00CD59E4"/>
    <w:rsid w:val="00CE5808"/>
    <w:rsid w:val="00CF536A"/>
    <w:rsid w:val="00CF75BA"/>
    <w:rsid w:val="00D07D0E"/>
    <w:rsid w:val="00D23B1E"/>
    <w:rsid w:val="00D31446"/>
    <w:rsid w:val="00D324AE"/>
    <w:rsid w:val="00D6526D"/>
    <w:rsid w:val="00D74C0D"/>
    <w:rsid w:val="00D76249"/>
    <w:rsid w:val="00D76CD9"/>
    <w:rsid w:val="00D77E6C"/>
    <w:rsid w:val="00D85169"/>
    <w:rsid w:val="00D95F60"/>
    <w:rsid w:val="00DA29E1"/>
    <w:rsid w:val="00DA6AF0"/>
    <w:rsid w:val="00DB7F13"/>
    <w:rsid w:val="00DC5CD9"/>
    <w:rsid w:val="00DD016E"/>
    <w:rsid w:val="00DD0A53"/>
    <w:rsid w:val="00DD2672"/>
    <w:rsid w:val="00DD60B9"/>
    <w:rsid w:val="00DE4D89"/>
    <w:rsid w:val="00DF0CD6"/>
    <w:rsid w:val="00DF1713"/>
    <w:rsid w:val="00E2047E"/>
    <w:rsid w:val="00E53002"/>
    <w:rsid w:val="00E61777"/>
    <w:rsid w:val="00EA6394"/>
    <w:rsid w:val="00ED3E3D"/>
    <w:rsid w:val="00ED4E9B"/>
    <w:rsid w:val="00ED5062"/>
    <w:rsid w:val="00EE4C05"/>
    <w:rsid w:val="00EE7A4F"/>
    <w:rsid w:val="00EF01CE"/>
    <w:rsid w:val="00EF6642"/>
    <w:rsid w:val="00F420CD"/>
    <w:rsid w:val="00F5312D"/>
    <w:rsid w:val="00F57EAC"/>
    <w:rsid w:val="00F62E1B"/>
    <w:rsid w:val="00F73F17"/>
    <w:rsid w:val="00F81AF7"/>
    <w:rsid w:val="00F83E9E"/>
    <w:rsid w:val="00F87578"/>
    <w:rsid w:val="00F907B4"/>
    <w:rsid w:val="00FC5231"/>
    <w:rsid w:val="00FD0421"/>
    <w:rsid w:val="00FE0A60"/>
    <w:rsid w:val="00FE74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4B8"/>
    <w:rPr>
      <w:lang w:val="hu-H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7024"/>
    <w:pPr>
      <w:ind w:left="720"/>
      <w:contextualSpacing/>
    </w:pPr>
  </w:style>
  <w:style w:type="character" w:styleId="CommentReference">
    <w:name w:val="annotation reference"/>
    <w:basedOn w:val="DefaultParagraphFont"/>
    <w:uiPriority w:val="99"/>
    <w:semiHidden/>
    <w:rsid w:val="00AA646B"/>
    <w:rPr>
      <w:rFonts w:cs="Times New Roman"/>
      <w:sz w:val="16"/>
      <w:szCs w:val="16"/>
    </w:rPr>
  </w:style>
  <w:style w:type="paragraph" w:styleId="CommentText">
    <w:name w:val="annotation text"/>
    <w:basedOn w:val="Normal"/>
    <w:link w:val="CommentTextChar"/>
    <w:uiPriority w:val="99"/>
    <w:semiHidden/>
    <w:rsid w:val="00AA646B"/>
    <w:rPr>
      <w:sz w:val="20"/>
      <w:szCs w:val="20"/>
    </w:rPr>
  </w:style>
  <w:style w:type="character" w:customStyle="1" w:styleId="CommentTextChar">
    <w:name w:val="Comment Text Char"/>
    <w:basedOn w:val="DefaultParagraphFont"/>
    <w:link w:val="CommentText"/>
    <w:uiPriority w:val="99"/>
    <w:semiHidden/>
    <w:locked/>
    <w:rsid w:val="00AA646B"/>
    <w:rPr>
      <w:rFonts w:cs="Times New Roman"/>
      <w:sz w:val="20"/>
      <w:szCs w:val="20"/>
      <w:lang w:val="en-GB"/>
    </w:rPr>
  </w:style>
  <w:style w:type="paragraph" w:styleId="CommentSubject">
    <w:name w:val="annotation subject"/>
    <w:basedOn w:val="CommentText"/>
    <w:next w:val="CommentText"/>
    <w:link w:val="CommentSubjectChar"/>
    <w:uiPriority w:val="99"/>
    <w:semiHidden/>
    <w:rsid w:val="00AA646B"/>
    <w:rPr>
      <w:b/>
      <w:bCs/>
    </w:rPr>
  </w:style>
  <w:style w:type="character" w:customStyle="1" w:styleId="CommentSubjectChar">
    <w:name w:val="Comment Subject Char"/>
    <w:basedOn w:val="CommentTextChar"/>
    <w:link w:val="CommentSubject"/>
    <w:uiPriority w:val="99"/>
    <w:semiHidden/>
    <w:locked/>
    <w:rsid w:val="00AA646B"/>
    <w:rPr>
      <w:b/>
      <w:bCs/>
    </w:rPr>
  </w:style>
  <w:style w:type="paragraph" w:styleId="BalloonText">
    <w:name w:val="Balloon Text"/>
    <w:basedOn w:val="Normal"/>
    <w:link w:val="BalloonTextChar"/>
    <w:uiPriority w:val="99"/>
    <w:semiHidden/>
    <w:rsid w:val="00AA64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646B"/>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1130</Words>
  <Characters>6445</Characters>
  <Application>Microsoft Office Outlook</Application>
  <DocSecurity>0</DocSecurity>
  <Lines>0</Lines>
  <Paragraphs>0</Paragraphs>
  <ScaleCrop>false</ScaleCrop>
  <Company>Procter &amp; Gamble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Hanti-Manszijszk Nyilatkozat</dc:title>
  <dc:subject/>
  <dc:creator>sarkady.k</dc:creator>
  <cp:keywords/>
  <dc:description/>
  <cp:lastModifiedBy>*****</cp:lastModifiedBy>
  <cp:revision>2</cp:revision>
  <dcterms:created xsi:type="dcterms:W3CDTF">2016-08-16T12:57:00Z</dcterms:created>
  <dcterms:modified xsi:type="dcterms:W3CDTF">2016-08-16T12:57:00Z</dcterms:modified>
</cp:coreProperties>
</file>